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AC51" w14:textId="2051CBBF" w:rsidR="00080F00" w:rsidRPr="00EA0E6A" w:rsidRDefault="00080F00" w:rsidP="00EA0E6A">
      <w:pPr>
        <w:jc w:val="center"/>
        <w:rPr>
          <w:sz w:val="28"/>
          <w:szCs w:val="32"/>
        </w:rPr>
      </w:pPr>
      <w:r w:rsidRPr="00EA0E6A">
        <w:rPr>
          <w:rFonts w:hint="eastAsia"/>
          <w:sz w:val="28"/>
          <w:szCs w:val="32"/>
        </w:rPr>
        <w:t>景観配慮チェック</w:t>
      </w:r>
      <w:r w:rsidR="00EA0E6A" w:rsidRPr="00EA0E6A">
        <w:rPr>
          <w:rFonts w:hint="eastAsia"/>
          <w:sz w:val="28"/>
          <w:szCs w:val="32"/>
        </w:rPr>
        <w:t>リスト</w:t>
      </w:r>
      <w:r w:rsidRPr="00EA0E6A">
        <w:rPr>
          <w:rFonts w:hint="eastAsia"/>
          <w:sz w:val="28"/>
          <w:szCs w:val="32"/>
        </w:rPr>
        <w:t>（上野</w:t>
      </w:r>
      <w:r w:rsidR="000F2AA9" w:rsidRPr="00EA0E6A">
        <w:rPr>
          <w:rFonts w:hint="eastAsia"/>
          <w:sz w:val="28"/>
          <w:szCs w:val="32"/>
        </w:rPr>
        <w:t>駅周辺地区（視認</w:t>
      </w:r>
      <w:r w:rsidR="00862BD3">
        <w:rPr>
          <w:rFonts w:hint="eastAsia"/>
          <w:sz w:val="28"/>
          <w:szCs w:val="32"/>
        </w:rPr>
        <w:t>され</w:t>
      </w:r>
      <w:r w:rsidR="000F2AA9" w:rsidRPr="00EA0E6A">
        <w:rPr>
          <w:rFonts w:hint="eastAsia"/>
          <w:sz w:val="28"/>
          <w:szCs w:val="32"/>
        </w:rPr>
        <w:t>ない高層部</w:t>
      </w:r>
      <w:r w:rsidR="00862BD3">
        <w:rPr>
          <w:rFonts w:hint="eastAsia"/>
          <w:sz w:val="28"/>
          <w:szCs w:val="32"/>
        </w:rPr>
        <w:t>＋低層部</w:t>
      </w:r>
      <w:r w:rsidRPr="00EA0E6A">
        <w:rPr>
          <w:rFonts w:hint="eastAsia"/>
          <w:sz w:val="28"/>
          <w:szCs w:val="32"/>
        </w:rPr>
        <w:t>）</w:t>
      </w:r>
      <w:r w:rsidR="00FC2A96" w:rsidRPr="00EA0E6A">
        <w:rPr>
          <w:rFonts w:hint="eastAsia"/>
          <w:sz w:val="28"/>
          <w:szCs w:val="32"/>
        </w:rPr>
        <w:t>）</w:t>
      </w:r>
    </w:p>
    <w:tbl>
      <w:tblPr>
        <w:tblW w:w="10485" w:type="dxa"/>
        <w:tblCellMar>
          <w:left w:w="99" w:type="dxa"/>
          <w:right w:w="99" w:type="dxa"/>
        </w:tblCellMar>
        <w:tblLook w:val="04A0" w:firstRow="1" w:lastRow="0" w:firstColumn="1" w:lastColumn="0" w:noHBand="0" w:noVBand="1"/>
      </w:tblPr>
      <w:tblGrid>
        <w:gridCol w:w="564"/>
        <w:gridCol w:w="564"/>
        <w:gridCol w:w="564"/>
        <w:gridCol w:w="4682"/>
        <w:gridCol w:w="4111"/>
      </w:tblGrid>
      <w:tr w:rsidR="00F1230E" w:rsidRPr="00EA0E6A" w14:paraId="5C9C1EC7" w14:textId="77777777" w:rsidTr="007B789A">
        <w:trPr>
          <w:trHeight w:val="546"/>
        </w:trPr>
        <w:tc>
          <w:tcPr>
            <w:tcW w:w="1128" w:type="dxa"/>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0585993" w14:textId="77777777" w:rsidR="00F1230E" w:rsidRPr="00EA0E6A" w:rsidRDefault="00F1230E" w:rsidP="00FC2A96">
            <w:pPr>
              <w:widowControl/>
              <w:jc w:val="center"/>
              <w:rPr>
                <w:rFonts w:ascii="BIZ UDゴシック" w:eastAsia="BIZ UDゴシック" w:hAnsi="BIZ UDゴシック" w:cs="ＭＳ Ｐゴシック"/>
                <w:b/>
                <w:bCs/>
                <w:color w:val="000000"/>
                <w:kern w:val="0"/>
                <w:sz w:val="18"/>
                <w:szCs w:val="18"/>
              </w:rPr>
            </w:pPr>
          </w:p>
        </w:tc>
        <w:tc>
          <w:tcPr>
            <w:tcW w:w="564" w:type="dxa"/>
            <w:tcBorders>
              <w:top w:val="single" w:sz="4" w:space="0" w:color="auto"/>
              <w:left w:val="nil"/>
              <w:bottom w:val="double" w:sz="4" w:space="0" w:color="auto"/>
              <w:right w:val="nil"/>
            </w:tcBorders>
            <w:shd w:val="clear" w:color="auto" w:fill="D9D9D9" w:themeFill="background1" w:themeFillShade="D9"/>
          </w:tcPr>
          <w:p w14:paraId="67829A50" w14:textId="77777777" w:rsidR="00F1230E" w:rsidRPr="00EA0E6A" w:rsidRDefault="00F1230E" w:rsidP="00FC2A96">
            <w:pPr>
              <w:widowControl/>
              <w:jc w:val="center"/>
              <w:rPr>
                <w:rFonts w:ascii="BIZ UDゴシック" w:eastAsia="BIZ UDゴシック" w:hAnsi="BIZ UDゴシック" w:cs="ＭＳ Ｐゴシック"/>
                <w:b/>
                <w:bCs/>
                <w:color w:val="000000"/>
                <w:kern w:val="0"/>
                <w:szCs w:val="21"/>
              </w:rPr>
            </w:pPr>
          </w:p>
        </w:tc>
        <w:tc>
          <w:tcPr>
            <w:tcW w:w="4682" w:type="dxa"/>
            <w:tcBorders>
              <w:top w:val="single" w:sz="4" w:space="0" w:color="auto"/>
              <w:left w:val="nil"/>
              <w:bottom w:val="double" w:sz="4" w:space="0" w:color="auto"/>
              <w:right w:val="single" w:sz="4" w:space="0" w:color="auto"/>
            </w:tcBorders>
            <w:shd w:val="clear" w:color="auto" w:fill="D9D9D9" w:themeFill="background1" w:themeFillShade="D9"/>
            <w:vAlign w:val="center"/>
          </w:tcPr>
          <w:p w14:paraId="68C9F5BC" w14:textId="3FE24BCC" w:rsidR="00F1230E" w:rsidRPr="007B789A" w:rsidRDefault="00F1230E" w:rsidP="00FC2A96">
            <w:pPr>
              <w:widowControl/>
              <w:jc w:val="center"/>
              <w:rPr>
                <w:rFonts w:ascii="BIZ UD明朝 Medium" w:hAnsi="BIZ UD明朝 Medium" w:cs="ＭＳ Ｐゴシック"/>
                <w:color w:val="000000"/>
                <w:kern w:val="0"/>
                <w:sz w:val="24"/>
                <w:szCs w:val="24"/>
              </w:rPr>
            </w:pPr>
            <w:r w:rsidRPr="007B789A">
              <w:rPr>
                <w:rFonts w:ascii="BIZ UDゴシック" w:eastAsia="BIZ UDゴシック" w:hAnsi="BIZ UDゴシック" w:cs="ＭＳ Ｐゴシック" w:hint="eastAsia"/>
                <w:b/>
                <w:bCs/>
                <w:color w:val="000000"/>
                <w:kern w:val="0"/>
                <w:sz w:val="24"/>
                <w:szCs w:val="24"/>
              </w:rPr>
              <w:t>景観配慮事項</w:t>
            </w:r>
          </w:p>
        </w:tc>
        <w:tc>
          <w:tcPr>
            <w:tcW w:w="4111" w:type="dxa"/>
            <w:tcBorders>
              <w:top w:val="single" w:sz="4" w:space="0" w:color="auto"/>
              <w:left w:val="nil"/>
              <w:bottom w:val="double" w:sz="4" w:space="0" w:color="auto"/>
              <w:right w:val="single" w:sz="4" w:space="0" w:color="auto"/>
            </w:tcBorders>
            <w:shd w:val="clear" w:color="auto" w:fill="D9D9D9" w:themeFill="background1" w:themeFillShade="D9"/>
            <w:vAlign w:val="center"/>
          </w:tcPr>
          <w:p w14:paraId="68714620" w14:textId="0132C362" w:rsidR="00F1230E" w:rsidRPr="007B789A" w:rsidRDefault="007B789A" w:rsidP="00FC2A96">
            <w:pPr>
              <w:widowControl/>
              <w:jc w:val="center"/>
              <w:rPr>
                <w:rFonts w:ascii="BIZ UD明朝 Medium" w:hAnsi="BIZ UD明朝 Medium" w:cs="ＭＳ Ｐゴシック"/>
                <w:color w:val="000000"/>
                <w:kern w:val="0"/>
                <w:sz w:val="24"/>
                <w:szCs w:val="24"/>
              </w:rPr>
            </w:pPr>
            <w:r>
              <w:rPr>
                <w:rFonts w:ascii="BIZ UDゴシック" w:eastAsia="BIZ UDゴシック" w:hAnsi="BIZ UDゴシック" w:cs="ＭＳ Ｐゴシック" w:hint="eastAsia"/>
                <w:b/>
                <w:bCs/>
                <w:color w:val="000000"/>
                <w:kern w:val="0"/>
                <w:sz w:val="24"/>
                <w:szCs w:val="24"/>
              </w:rPr>
              <w:t>事業者</w:t>
            </w:r>
            <w:r w:rsidR="00F1230E" w:rsidRPr="007B789A">
              <w:rPr>
                <w:rFonts w:ascii="BIZ UDゴシック" w:eastAsia="BIZ UDゴシック" w:hAnsi="BIZ UDゴシック" w:cs="ＭＳ Ｐゴシック" w:hint="eastAsia"/>
                <w:b/>
                <w:bCs/>
                <w:color w:val="000000"/>
                <w:kern w:val="0"/>
                <w:sz w:val="24"/>
                <w:szCs w:val="24"/>
              </w:rPr>
              <w:t>が配慮した内容</w:t>
            </w:r>
          </w:p>
        </w:tc>
      </w:tr>
      <w:tr w:rsidR="00227346" w:rsidRPr="00EA0E6A" w14:paraId="51BCB592" w14:textId="77777777" w:rsidTr="00374AB9">
        <w:trPr>
          <w:trHeight w:val="394"/>
        </w:trPr>
        <w:tc>
          <w:tcPr>
            <w:tcW w:w="564"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43C82409" w14:textId="28BCAE75" w:rsidR="00227346" w:rsidRPr="007B789A" w:rsidRDefault="00227346" w:rsidP="006440CE">
            <w:pPr>
              <w:widowControl/>
              <w:ind w:left="113" w:right="113"/>
              <w:jc w:val="center"/>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建築物・工作物</w:t>
            </w:r>
          </w:p>
        </w:tc>
        <w:tc>
          <w:tcPr>
            <w:tcW w:w="564"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hideMark/>
          </w:tcPr>
          <w:p w14:paraId="701B4768" w14:textId="77777777" w:rsidR="00227346" w:rsidRPr="007B789A" w:rsidRDefault="00227346" w:rsidP="006440CE">
            <w:pPr>
              <w:widowControl/>
              <w:ind w:left="113" w:right="113"/>
              <w:jc w:val="center"/>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高さ</w:t>
            </w:r>
          </w:p>
        </w:tc>
        <w:tc>
          <w:tcPr>
            <w:tcW w:w="564" w:type="dxa"/>
            <w:vMerge w:val="restart"/>
            <w:tcBorders>
              <w:top w:val="single" w:sz="4" w:space="0" w:color="auto"/>
              <w:left w:val="nil"/>
              <w:right w:val="single" w:sz="4" w:space="0" w:color="auto"/>
            </w:tcBorders>
            <w:textDirection w:val="tbRlV"/>
          </w:tcPr>
          <w:p w14:paraId="152EE02C" w14:textId="0073BDD4" w:rsidR="00227346" w:rsidRPr="007B789A" w:rsidRDefault="00227346" w:rsidP="006440CE">
            <w:pPr>
              <w:widowControl/>
              <w:ind w:left="210" w:right="113" w:hangingChars="100" w:hanging="210"/>
              <w:jc w:val="center"/>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視認</w:t>
            </w:r>
            <w:r w:rsidR="00862BD3" w:rsidRPr="007B789A">
              <w:rPr>
                <w:rFonts w:ascii="BIZ UD明朝 Medium" w:hAnsi="BIZ UD明朝 Medium" w:cs="ＭＳ Ｐゴシック" w:hint="eastAsia"/>
                <w:color w:val="000000"/>
                <w:kern w:val="0"/>
                <w:szCs w:val="21"/>
              </w:rPr>
              <w:t>されない</w:t>
            </w:r>
            <w:r w:rsidRPr="007B789A">
              <w:rPr>
                <w:rFonts w:ascii="BIZ UD明朝 Medium" w:hAnsi="BIZ UD明朝 Medium" w:cs="ＭＳ Ｐゴシック" w:hint="eastAsia"/>
                <w:color w:val="000000"/>
                <w:kern w:val="0"/>
                <w:szCs w:val="21"/>
              </w:rPr>
              <w:t>高層部</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73D2F" w14:textId="0D18F58D" w:rsidR="00227346" w:rsidRPr="007B789A" w:rsidRDefault="00227346" w:rsidP="00862BD3">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w:t>
            </w:r>
            <w:r w:rsidR="00862BD3" w:rsidRPr="007B789A">
              <w:rPr>
                <w:rFonts w:ascii="BIZ UD明朝 Medium" w:hAnsi="BIZ UD明朝 Medium" w:cs="ＭＳ Ｐゴシック" w:hint="eastAsia"/>
                <w:color w:val="000000"/>
                <w:kern w:val="0"/>
                <w:szCs w:val="21"/>
              </w:rPr>
              <w:t>国立西洋美術館前の眺望点からの景観シミュレーションを行い、見え方に配慮した建物高さとする。</w:t>
            </w:r>
          </w:p>
        </w:tc>
        <w:tc>
          <w:tcPr>
            <w:tcW w:w="4111" w:type="dxa"/>
            <w:tcBorders>
              <w:top w:val="single" w:sz="4" w:space="0" w:color="auto"/>
              <w:left w:val="nil"/>
              <w:bottom w:val="single" w:sz="4" w:space="0" w:color="auto"/>
              <w:right w:val="single" w:sz="4" w:space="0" w:color="auto"/>
            </w:tcBorders>
            <w:shd w:val="clear" w:color="auto" w:fill="auto"/>
            <w:vAlign w:val="center"/>
          </w:tcPr>
          <w:p w14:paraId="618F4E53" w14:textId="67484BAF" w:rsidR="00227346" w:rsidRPr="007B789A" w:rsidRDefault="00227346" w:rsidP="000F2AA9">
            <w:pPr>
              <w:jc w:val="left"/>
              <w:rPr>
                <w:rFonts w:ascii="BIZ UD明朝 Medium" w:hAnsi="BIZ UD明朝 Medium" w:cs="ＭＳ Ｐゴシック"/>
                <w:color w:val="000000"/>
                <w:kern w:val="0"/>
                <w:szCs w:val="21"/>
              </w:rPr>
            </w:pPr>
          </w:p>
        </w:tc>
      </w:tr>
      <w:tr w:rsidR="00227346" w:rsidRPr="00EA0E6A" w14:paraId="59E74C9E" w14:textId="77777777" w:rsidTr="00374AB9">
        <w:trPr>
          <w:trHeight w:val="518"/>
        </w:trPr>
        <w:tc>
          <w:tcPr>
            <w:tcW w:w="564" w:type="dxa"/>
            <w:vMerge/>
            <w:tcBorders>
              <w:left w:val="single" w:sz="4" w:space="0" w:color="auto"/>
              <w:right w:val="single" w:sz="4" w:space="0" w:color="auto"/>
            </w:tcBorders>
            <w:textDirection w:val="tbRlV"/>
            <w:vAlign w:val="center"/>
            <w:hideMark/>
          </w:tcPr>
          <w:p w14:paraId="3E29E035" w14:textId="77777777" w:rsidR="00227346" w:rsidRPr="007B789A" w:rsidRDefault="00227346" w:rsidP="006440CE">
            <w:pPr>
              <w:widowControl/>
              <w:ind w:left="113" w:right="113"/>
              <w:jc w:val="center"/>
              <w:rPr>
                <w:rFonts w:ascii="BIZ UD明朝 Medium" w:hAnsi="BIZ UD明朝 Medium" w:cs="ＭＳ Ｐゴシック"/>
                <w:color w:val="000000"/>
                <w:kern w:val="0"/>
                <w:szCs w:val="21"/>
              </w:rPr>
            </w:pPr>
          </w:p>
        </w:tc>
        <w:tc>
          <w:tcPr>
            <w:tcW w:w="564" w:type="dxa"/>
            <w:vMerge/>
            <w:tcBorders>
              <w:top w:val="single" w:sz="4" w:space="0" w:color="auto"/>
              <w:left w:val="single" w:sz="4" w:space="0" w:color="auto"/>
              <w:bottom w:val="single" w:sz="4" w:space="0" w:color="auto"/>
              <w:right w:val="single" w:sz="4" w:space="0" w:color="auto"/>
            </w:tcBorders>
            <w:textDirection w:val="tbRlV"/>
            <w:vAlign w:val="center"/>
            <w:hideMark/>
          </w:tcPr>
          <w:p w14:paraId="678B3488" w14:textId="77777777" w:rsidR="00227346" w:rsidRPr="007B789A" w:rsidRDefault="00227346" w:rsidP="006440CE">
            <w:pPr>
              <w:widowControl/>
              <w:ind w:left="113" w:right="113"/>
              <w:jc w:val="center"/>
              <w:rPr>
                <w:rFonts w:ascii="BIZ UD明朝 Medium" w:hAnsi="BIZ UD明朝 Medium" w:cs="ＭＳ Ｐゴシック"/>
                <w:color w:val="000000"/>
                <w:kern w:val="0"/>
                <w:szCs w:val="21"/>
              </w:rPr>
            </w:pPr>
          </w:p>
        </w:tc>
        <w:tc>
          <w:tcPr>
            <w:tcW w:w="564" w:type="dxa"/>
            <w:vMerge/>
            <w:tcBorders>
              <w:left w:val="nil"/>
              <w:bottom w:val="single" w:sz="4" w:space="0" w:color="auto"/>
              <w:right w:val="single" w:sz="4" w:space="0" w:color="auto"/>
            </w:tcBorders>
            <w:textDirection w:val="tbRlV"/>
          </w:tcPr>
          <w:p w14:paraId="2ABB87B0" w14:textId="77777777" w:rsidR="00227346" w:rsidRPr="007B789A" w:rsidRDefault="00227346" w:rsidP="006440CE">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auto" w:fill="auto"/>
            <w:vAlign w:val="center"/>
          </w:tcPr>
          <w:p w14:paraId="626B3918" w14:textId="7AB04085" w:rsidR="00227346" w:rsidRPr="007B789A" w:rsidRDefault="00227346" w:rsidP="000F2AA9">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w:t>
            </w:r>
            <w:r w:rsidR="00862BD3" w:rsidRPr="007B789A">
              <w:rPr>
                <w:rFonts w:ascii="BIZ UD明朝 Medium" w:hAnsi="BIZ UD明朝 Medium" w:cs="ＭＳ Ｐゴシック" w:hint="eastAsia"/>
                <w:color w:val="000000"/>
                <w:kern w:val="0"/>
                <w:szCs w:val="21"/>
              </w:rPr>
              <w:t>上野駅前広場や西郷像前の眺望点からの景観シミュレーションを行い、見え方に配慮した景観を形成する。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67A38F1" w14:textId="061C153F" w:rsidR="00227346" w:rsidRPr="007B789A" w:rsidRDefault="00227346" w:rsidP="000F2AA9">
            <w:pPr>
              <w:widowControl/>
              <w:jc w:val="left"/>
              <w:rPr>
                <w:rFonts w:ascii="BIZ UD明朝 Medium" w:hAnsi="BIZ UD明朝 Medium" w:cs="ＭＳ Ｐゴシック"/>
                <w:color w:val="000000"/>
                <w:kern w:val="0"/>
                <w:szCs w:val="21"/>
              </w:rPr>
            </w:pPr>
          </w:p>
        </w:tc>
      </w:tr>
      <w:tr w:rsidR="00F1230E" w:rsidRPr="00EA0E6A" w14:paraId="43C4E50F" w14:textId="77777777" w:rsidTr="00862BD3">
        <w:trPr>
          <w:trHeight w:val="510"/>
        </w:trPr>
        <w:tc>
          <w:tcPr>
            <w:tcW w:w="564" w:type="dxa"/>
            <w:vMerge/>
            <w:tcBorders>
              <w:left w:val="single" w:sz="4" w:space="0" w:color="auto"/>
              <w:right w:val="single" w:sz="4" w:space="0" w:color="auto"/>
            </w:tcBorders>
            <w:textDirection w:val="tbRlV"/>
            <w:vAlign w:val="center"/>
            <w:hideMark/>
          </w:tcPr>
          <w:p w14:paraId="77288D0E" w14:textId="77777777" w:rsidR="00F1230E" w:rsidRPr="007B789A" w:rsidRDefault="00F1230E" w:rsidP="006440CE">
            <w:pPr>
              <w:widowControl/>
              <w:ind w:left="113" w:right="113"/>
              <w:jc w:val="center"/>
              <w:rPr>
                <w:rFonts w:ascii="BIZ UD明朝 Medium" w:hAnsi="BIZ UD明朝 Medium" w:cs="ＭＳ Ｐゴシック"/>
                <w:color w:val="000000"/>
                <w:kern w:val="0"/>
                <w:szCs w:val="21"/>
              </w:rPr>
            </w:pPr>
          </w:p>
        </w:tc>
        <w:tc>
          <w:tcPr>
            <w:tcW w:w="564" w:type="dxa"/>
            <w:vMerge w:val="restart"/>
            <w:tcBorders>
              <w:top w:val="single" w:sz="4" w:space="0" w:color="auto"/>
              <w:left w:val="single" w:sz="4" w:space="0" w:color="auto"/>
              <w:right w:val="single" w:sz="4" w:space="0" w:color="auto"/>
            </w:tcBorders>
            <w:shd w:val="clear" w:color="000000" w:fill="FFFFFF"/>
            <w:textDirection w:val="tbRlV"/>
            <w:vAlign w:val="center"/>
            <w:hideMark/>
          </w:tcPr>
          <w:p w14:paraId="69B8488C" w14:textId="0ABD8CAA" w:rsidR="00F1230E" w:rsidRPr="007B789A" w:rsidRDefault="00F1230E" w:rsidP="006440CE">
            <w:pPr>
              <w:widowControl/>
              <w:ind w:left="113" w:right="113"/>
              <w:jc w:val="center"/>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形態・意匠・色彩</w:t>
            </w:r>
          </w:p>
        </w:tc>
        <w:tc>
          <w:tcPr>
            <w:tcW w:w="564" w:type="dxa"/>
            <w:vMerge w:val="restart"/>
            <w:tcBorders>
              <w:top w:val="single" w:sz="4" w:space="0" w:color="auto"/>
              <w:left w:val="nil"/>
              <w:bottom w:val="single" w:sz="4" w:space="0" w:color="auto"/>
              <w:right w:val="single" w:sz="4" w:space="0" w:color="auto"/>
            </w:tcBorders>
            <w:textDirection w:val="tbRlV"/>
          </w:tcPr>
          <w:p w14:paraId="02610822" w14:textId="482FB93C" w:rsidR="00F1230E" w:rsidRPr="007B789A" w:rsidRDefault="00F1230E" w:rsidP="006440CE">
            <w:pPr>
              <w:widowControl/>
              <w:ind w:left="210" w:right="113" w:hangingChars="100" w:hanging="210"/>
              <w:jc w:val="center"/>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視認</w:t>
            </w:r>
            <w:r w:rsidR="00862BD3" w:rsidRPr="007B789A">
              <w:rPr>
                <w:rFonts w:ascii="BIZ UD明朝 Medium" w:hAnsi="BIZ UD明朝 Medium" w:cs="ＭＳ Ｐゴシック" w:hint="eastAsia"/>
                <w:color w:val="000000"/>
                <w:kern w:val="0"/>
                <w:szCs w:val="21"/>
              </w:rPr>
              <w:t>され</w:t>
            </w:r>
            <w:r w:rsidRPr="007B789A">
              <w:rPr>
                <w:rFonts w:ascii="BIZ UD明朝 Medium" w:hAnsi="BIZ UD明朝 Medium" w:cs="ＭＳ Ｐゴシック" w:hint="eastAsia"/>
                <w:color w:val="000000"/>
                <w:kern w:val="0"/>
                <w:szCs w:val="21"/>
              </w:rPr>
              <w:t>ない高層部</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center"/>
          </w:tcPr>
          <w:p w14:paraId="3DD93368" w14:textId="420E0B11" w:rsidR="00F1230E" w:rsidRPr="007B789A" w:rsidRDefault="00862BD3" w:rsidP="00862BD3">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●日本の玄関口にふさわしい、風格が感じられる景観の形成に向け、上野駅を意識した秩序や落ち着きのあるデザインとする。</w:t>
            </w:r>
          </w:p>
        </w:tc>
        <w:tc>
          <w:tcPr>
            <w:tcW w:w="4111" w:type="dxa"/>
            <w:tcBorders>
              <w:top w:val="single" w:sz="4" w:space="0" w:color="auto"/>
              <w:left w:val="nil"/>
              <w:bottom w:val="single" w:sz="4" w:space="0" w:color="auto"/>
              <w:right w:val="single" w:sz="4" w:space="0" w:color="auto"/>
            </w:tcBorders>
            <w:shd w:val="clear" w:color="auto" w:fill="auto"/>
            <w:vAlign w:val="center"/>
          </w:tcPr>
          <w:p w14:paraId="5DC40371" w14:textId="77392B8A" w:rsidR="00F1230E" w:rsidRPr="007B789A" w:rsidRDefault="00F1230E" w:rsidP="00FC0347">
            <w:pPr>
              <w:widowControl/>
              <w:jc w:val="left"/>
              <w:rPr>
                <w:rFonts w:ascii="BIZ UD明朝 Medium" w:hAnsi="BIZ UD明朝 Medium" w:cs="ＭＳ Ｐゴシック"/>
                <w:color w:val="000000"/>
                <w:kern w:val="0"/>
                <w:szCs w:val="21"/>
              </w:rPr>
            </w:pPr>
          </w:p>
        </w:tc>
      </w:tr>
      <w:tr w:rsidR="00F1230E" w:rsidRPr="00EA0E6A" w14:paraId="0E4A7AD4" w14:textId="77777777" w:rsidTr="003B4058">
        <w:trPr>
          <w:trHeight w:val="765"/>
        </w:trPr>
        <w:tc>
          <w:tcPr>
            <w:tcW w:w="564" w:type="dxa"/>
            <w:vMerge/>
            <w:tcBorders>
              <w:left w:val="single" w:sz="4" w:space="0" w:color="auto"/>
              <w:right w:val="single" w:sz="4" w:space="0" w:color="auto"/>
            </w:tcBorders>
            <w:textDirection w:val="tbRlV"/>
            <w:vAlign w:val="center"/>
            <w:hideMark/>
          </w:tcPr>
          <w:p w14:paraId="186583FD" w14:textId="77777777" w:rsidR="00F1230E" w:rsidRPr="007B789A" w:rsidRDefault="00F1230E" w:rsidP="006440CE">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single" w:sz="4" w:space="0" w:color="auto"/>
              <w:right w:val="single" w:sz="4" w:space="0" w:color="auto"/>
            </w:tcBorders>
            <w:textDirection w:val="tbRlV"/>
            <w:vAlign w:val="center"/>
            <w:hideMark/>
          </w:tcPr>
          <w:p w14:paraId="09854C84" w14:textId="77777777" w:rsidR="00F1230E" w:rsidRPr="007B789A" w:rsidRDefault="00F1230E" w:rsidP="006440CE">
            <w:pPr>
              <w:widowControl/>
              <w:ind w:left="113" w:right="113"/>
              <w:jc w:val="center"/>
              <w:rPr>
                <w:rFonts w:ascii="BIZ UD明朝 Medium" w:hAnsi="BIZ UD明朝 Medium" w:cs="ＭＳ Ｐゴシック"/>
                <w:color w:val="000000"/>
                <w:kern w:val="0"/>
                <w:szCs w:val="21"/>
                <w:u w:val="single"/>
              </w:rPr>
            </w:pPr>
          </w:p>
        </w:tc>
        <w:tc>
          <w:tcPr>
            <w:tcW w:w="564" w:type="dxa"/>
            <w:vMerge/>
            <w:tcBorders>
              <w:top w:val="single" w:sz="4" w:space="0" w:color="auto"/>
              <w:left w:val="nil"/>
              <w:bottom w:val="single" w:sz="4" w:space="0" w:color="auto"/>
              <w:right w:val="single" w:sz="4" w:space="0" w:color="auto"/>
            </w:tcBorders>
            <w:shd w:val="clear" w:color="000000" w:fill="FFFFFF"/>
            <w:textDirection w:val="tbRlV"/>
          </w:tcPr>
          <w:p w14:paraId="1043C204" w14:textId="77777777" w:rsidR="00F1230E" w:rsidRPr="007B789A" w:rsidRDefault="00F1230E" w:rsidP="006440CE">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59D521FE" w14:textId="490D2550" w:rsidR="00F1230E" w:rsidRPr="007B789A" w:rsidRDefault="00862BD3" w:rsidP="00862BD3">
            <w:pPr>
              <w:ind w:left="210" w:hangingChars="100" w:hanging="210"/>
              <w:rPr>
                <w:rFonts w:ascii="BIZ UD明朝 Medium" w:hAnsi="BIZ UD明朝 Medium"/>
                <w:color w:val="000000"/>
                <w:szCs w:val="21"/>
              </w:rPr>
            </w:pPr>
            <w:r w:rsidRPr="007B789A">
              <w:rPr>
                <w:rFonts w:ascii="BIZ UD明朝 Medium" w:hAnsi="BIZ UD明朝 Medium" w:cs="ＭＳ Ｐゴシック" w:hint="eastAsia"/>
                <w:color w:val="000000"/>
                <w:kern w:val="0"/>
                <w:szCs w:val="21"/>
              </w:rPr>
              <w:t>●</w:t>
            </w:r>
            <w:r w:rsidRPr="007B789A">
              <w:rPr>
                <w:rFonts w:ascii="BIZ UD明朝 Medium" w:hAnsi="BIZ UD明朝 Medium" w:hint="eastAsia"/>
                <w:color w:val="000000"/>
                <w:szCs w:val="21"/>
              </w:rPr>
              <w:t>建築物全体のバランスだけでなく周辺の建築物などとの調和や圧迫感の低減を図る。</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6085F665" w14:textId="494AA450" w:rsidR="00F1230E" w:rsidRPr="007B789A" w:rsidRDefault="00F1230E" w:rsidP="000F2AA9">
            <w:pPr>
              <w:jc w:val="left"/>
              <w:rPr>
                <w:rFonts w:ascii="BIZ UD明朝 Medium" w:hAnsi="BIZ UD明朝 Medium" w:cs="ＭＳ Ｐゴシック"/>
                <w:color w:val="000000"/>
                <w:kern w:val="0"/>
                <w:szCs w:val="21"/>
              </w:rPr>
            </w:pPr>
          </w:p>
        </w:tc>
      </w:tr>
      <w:tr w:rsidR="006440CE" w:rsidRPr="00EA0E6A" w14:paraId="434CFE90" w14:textId="77777777" w:rsidTr="003B4058">
        <w:trPr>
          <w:trHeight w:val="270"/>
        </w:trPr>
        <w:tc>
          <w:tcPr>
            <w:tcW w:w="564" w:type="dxa"/>
            <w:vMerge/>
            <w:tcBorders>
              <w:left w:val="single" w:sz="4" w:space="0" w:color="auto"/>
              <w:right w:val="single" w:sz="4" w:space="0" w:color="auto"/>
            </w:tcBorders>
            <w:textDirection w:val="tbRlV"/>
            <w:vAlign w:val="center"/>
          </w:tcPr>
          <w:p w14:paraId="0CF3081F" w14:textId="77777777" w:rsidR="006440CE" w:rsidRPr="007B789A" w:rsidRDefault="006440CE" w:rsidP="006440CE">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single" w:sz="4" w:space="0" w:color="auto"/>
              <w:right w:val="single" w:sz="4" w:space="0" w:color="auto"/>
            </w:tcBorders>
            <w:textDirection w:val="tbRlV"/>
            <w:vAlign w:val="center"/>
          </w:tcPr>
          <w:p w14:paraId="628B3233" w14:textId="77777777" w:rsidR="006440CE" w:rsidRPr="007B789A" w:rsidRDefault="006440CE" w:rsidP="006440CE">
            <w:pPr>
              <w:widowControl/>
              <w:ind w:left="113" w:right="113"/>
              <w:jc w:val="center"/>
              <w:rPr>
                <w:rFonts w:ascii="BIZ UD明朝 Medium" w:hAnsi="BIZ UD明朝 Medium" w:cs="ＭＳ Ｐゴシック"/>
                <w:color w:val="000000"/>
                <w:kern w:val="0"/>
                <w:szCs w:val="21"/>
                <w:u w:val="single"/>
              </w:rPr>
            </w:pPr>
          </w:p>
        </w:tc>
        <w:tc>
          <w:tcPr>
            <w:tcW w:w="564" w:type="dxa"/>
            <w:vMerge w:val="restart"/>
            <w:tcBorders>
              <w:top w:val="single" w:sz="4" w:space="0" w:color="auto"/>
              <w:left w:val="nil"/>
              <w:right w:val="single" w:sz="4" w:space="0" w:color="auto"/>
            </w:tcBorders>
            <w:shd w:val="clear" w:color="000000" w:fill="FFFFFF"/>
            <w:textDirection w:val="tbRlV"/>
          </w:tcPr>
          <w:p w14:paraId="1111BD6D" w14:textId="71CA68F2" w:rsidR="006440CE" w:rsidRPr="007B789A" w:rsidRDefault="006440CE" w:rsidP="006440CE">
            <w:pPr>
              <w:widowControl/>
              <w:ind w:left="210" w:right="113" w:hangingChars="100" w:hanging="210"/>
              <w:jc w:val="center"/>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低層部</w:t>
            </w: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709CAB7A" w14:textId="0F5CA031" w:rsidR="006440CE" w:rsidRPr="007B789A" w:rsidRDefault="006440CE" w:rsidP="00F1230E">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●日本の玄関口にふさわしい、賑わいの中にも風格が感じられる景観を形成する。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56B5FF4" w14:textId="77777777" w:rsidR="006440CE" w:rsidRPr="007B789A" w:rsidRDefault="006440CE" w:rsidP="00F1230E">
            <w:pPr>
              <w:widowControl/>
              <w:jc w:val="left"/>
              <w:rPr>
                <w:rFonts w:ascii="BIZ UD明朝 Medium" w:hAnsi="BIZ UD明朝 Medium" w:cs="ＭＳ Ｐゴシック"/>
                <w:color w:val="000000"/>
                <w:kern w:val="0"/>
                <w:szCs w:val="21"/>
              </w:rPr>
            </w:pPr>
          </w:p>
        </w:tc>
      </w:tr>
      <w:tr w:rsidR="006440CE" w:rsidRPr="00EA0E6A" w14:paraId="0F99E944" w14:textId="77777777" w:rsidTr="003B4058">
        <w:trPr>
          <w:trHeight w:val="270"/>
        </w:trPr>
        <w:tc>
          <w:tcPr>
            <w:tcW w:w="564" w:type="dxa"/>
            <w:vMerge/>
            <w:tcBorders>
              <w:left w:val="single" w:sz="4" w:space="0" w:color="auto"/>
              <w:right w:val="single" w:sz="4" w:space="0" w:color="auto"/>
            </w:tcBorders>
            <w:textDirection w:val="tbRlV"/>
            <w:vAlign w:val="center"/>
          </w:tcPr>
          <w:p w14:paraId="45F89CAD" w14:textId="77777777" w:rsidR="006440CE" w:rsidRPr="007B789A" w:rsidRDefault="006440CE" w:rsidP="006440CE">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single" w:sz="4" w:space="0" w:color="auto"/>
              <w:right w:val="single" w:sz="4" w:space="0" w:color="auto"/>
            </w:tcBorders>
            <w:textDirection w:val="tbRlV"/>
            <w:vAlign w:val="center"/>
          </w:tcPr>
          <w:p w14:paraId="6D9F7754" w14:textId="77777777" w:rsidR="006440CE" w:rsidRPr="007B789A" w:rsidRDefault="006440CE" w:rsidP="006440CE">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nil"/>
              <w:right w:val="single" w:sz="4" w:space="0" w:color="auto"/>
            </w:tcBorders>
            <w:shd w:val="clear" w:color="000000" w:fill="FFFFFF"/>
            <w:textDirection w:val="tbRlV"/>
          </w:tcPr>
          <w:p w14:paraId="19B1D398" w14:textId="77777777" w:rsidR="006440CE" w:rsidRPr="007B789A" w:rsidRDefault="006440CE" w:rsidP="006440CE">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560F2E48" w14:textId="6E28ACBF" w:rsidR="006440CE" w:rsidRPr="007B789A" w:rsidRDefault="006440CE" w:rsidP="00F1230E">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w:t>
            </w:r>
            <w:r w:rsidR="00862BD3" w:rsidRPr="007B789A">
              <w:rPr>
                <w:rFonts w:ascii="BIZ UD明朝 Medium" w:hAnsi="BIZ UD明朝 Medium" w:cs="ＭＳ Ｐゴシック" w:hint="eastAsia"/>
                <w:color w:val="000000"/>
                <w:kern w:val="0"/>
                <w:szCs w:val="21"/>
              </w:rPr>
              <w:t>上野駅前広場や通りに面して、オープンスペースや賑わいの連続性を創出するとともに、まちの活気やアクティビティが豊かにひろがるまち並み景観を形成する。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F6F659D" w14:textId="77777777" w:rsidR="006440CE" w:rsidRPr="007B789A" w:rsidRDefault="006440CE" w:rsidP="00F1230E">
            <w:pPr>
              <w:widowControl/>
              <w:jc w:val="left"/>
              <w:rPr>
                <w:rFonts w:ascii="BIZ UD明朝 Medium" w:hAnsi="BIZ UD明朝 Medium" w:cs="ＭＳ Ｐゴシック"/>
                <w:color w:val="000000"/>
                <w:kern w:val="0"/>
                <w:szCs w:val="21"/>
              </w:rPr>
            </w:pPr>
          </w:p>
        </w:tc>
      </w:tr>
      <w:tr w:rsidR="006440CE" w:rsidRPr="00EA0E6A" w14:paraId="1F9B5EC5" w14:textId="77777777" w:rsidTr="003B4058">
        <w:trPr>
          <w:trHeight w:val="270"/>
        </w:trPr>
        <w:tc>
          <w:tcPr>
            <w:tcW w:w="564" w:type="dxa"/>
            <w:vMerge/>
            <w:tcBorders>
              <w:left w:val="single" w:sz="4" w:space="0" w:color="auto"/>
              <w:bottom w:val="single" w:sz="4" w:space="0" w:color="auto"/>
              <w:right w:val="single" w:sz="4" w:space="0" w:color="auto"/>
            </w:tcBorders>
            <w:textDirection w:val="tbRlV"/>
            <w:vAlign w:val="center"/>
          </w:tcPr>
          <w:p w14:paraId="13D5F368" w14:textId="77777777" w:rsidR="006440CE" w:rsidRPr="007B789A" w:rsidRDefault="006440CE" w:rsidP="006440CE">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single" w:sz="4" w:space="0" w:color="auto"/>
              <w:bottom w:val="single" w:sz="4" w:space="0" w:color="auto"/>
              <w:right w:val="single" w:sz="4" w:space="0" w:color="auto"/>
            </w:tcBorders>
            <w:textDirection w:val="tbRlV"/>
            <w:vAlign w:val="center"/>
          </w:tcPr>
          <w:p w14:paraId="11E7A876" w14:textId="77777777" w:rsidR="006440CE" w:rsidRPr="007B789A" w:rsidRDefault="006440CE" w:rsidP="006440CE">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nil"/>
              <w:bottom w:val="single" w:sz="4" w:space="0" w:color="auto"/>
              <w:right w:val="single" w:sz="4" w:space="0" w:color="auto"/>
            </w:tcBorders>
            <w:shd w:val="clear" w:color="000000" w:fill="FFFFFF"/>
            <w:textDirection w:val="tbRlV"/>
          </w:tcPr>
          <w:p w14:paraId="7F367BDF" w14:textId="77777777" w:rsidR="006440CE" w:rsidRPr="007B789A" w:rsidRDefault="006440CE" w:rsidP="006440CE">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683B2560" w14:textId="7C5B2EE5" w:rsidR="006440CE" w:rsidRPr="007B789A" w:rsidRDefault="006440CE" w:rsidP="00F1230E">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w:t>
            </w:r>
            <w:r w:rsidR="00862BD3" w:rsidRPr="007B789A">
              <w:rPr>
                <w:rFonts w:ascii="BIZ UD明朝 Medium" w:hAnsi="BIZ UD明朝 Medium" w:cs="ＭＳ Ｐゴシック" w:hint="eastAsia"/>
                <w:color w:val="000000"/>
                <w:kern w:val="0"/>
                <w:szCs w:val="21"/>
              </w:rPr>
              <w:t>建物の地上レベルから上野恩賜公園レベルにおいては、ヒューマンスケールが感じられるデザインに配慮する。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015CE62" w14:textId="77777777" w:rsidR="006440CE" w:rsidRPr="007B789A" w:rsidRDefault="006440CE" w:rsidP="00F1230E">
            <w:pPr>
              <w:widowControl/>
              <w:jc w:val="left"/>
              <w:rPr>
                <w:rFonts w:ascii="BIZ UD明朝 Medium" w:hAnsi="BIZ UD明朝 Medium" w:cs="ＭＳ Ｐゴシック"/>
                <w:color w:val="000000"/>
                <w:kern w:val="0"/>
                <w:szCs w:val="21"/>
              </w:rPr>
            </w:pPr>
          </w:p>
        </w:tc>
      </w:tr>
      <w:tr w:rsidR="00374AB9" w:rsidRPr="00EA0E6A" w14:paraId="5EFD7544" w14:textId="77777777" w:rsidTr="003B4058">
        <w:trPr>
          <w:trHeight w:val="270"/>
        </w:trPr>
        <w:tc>
          <w:tcPr>
            <w:tcW w:w="1692" w:type="dxa"/>
            <w:gridSpan w:val="3"/>
            <w:vMerge w:val="restart"/>
            <w:tcBorders>
              <w:left w:val="single" w:sz="4" w:space="0" w:color="auto"/>
              <w:right w:val="single" w:sz="4" w:space="0" w:color="auto"/>
            </w:tcBorders>
            <w:textDirection w:val="tbRlV"/>
            <w:vAlign w:val="center"/>
          </w:tcPr>
          <w:p w14:paraId="4D44812B" w14:textId="0FFA17EC" w:rsidR="00374AB9" w:rsidRPr="007B789A" w:rsidRDefault="00374AB9" w:rsidP="006440CE">
            <w:pPr>
              <w:widowControl/>
              <w:ind w:left="210" w:right="113" w:hangingChars="100" w:hanging="210"/>
              <w:jc w:val="center"/>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パブリックスペース等</w:t>
            </w: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581C3E90" w14:textId="41B1DAF3" w:rsidR="00374AB9" w:rsidRPr="007B789A" w:rsidRDefault="00374AB9" w:rsidP="00F1230E">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●上野恩賜公園とまち、駅を分かりやすくつなぐため、賑わいと潤いが連続した景観を形成する。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E990263" w14:textId="77777777" w:rsidR="00374AB9" w:rsidRPr="007B789A" w:rsidRDefault="00374AB9" w:rsidP="00F1230E">
            <w:pPr>
              <w:widowControl/>
              <w:jc w:val="left"/>
              <w:rPr>
                <w:rFonts w:ascii="BIZ UD明朝 Medium" w:hAnsi="BIZ UD明朝 Medium" w:cs="ＭＳ Ｐゴシック"/>
                <w:color w:val="000000"/>
                <w:kern w:val="0"/>
                <w:szCs w:val="21"/>
              </w:rPr>
            </w:pPr>
          </w:p>
        </w:tc>
      </w:tr>
      <w:tr w:rsidR="00374AB9" w:rsidRPr="00EA0E6A" w14:paraId="07F6A080" w14:textId="77777777" w:rsidTr="003B4058">
        <w:trPr>
          <w:trHeight w:val="270"/>
        </w:trPr>
        <w:tc>
          <w:tcPr>
            <w:tcW w:w="1692" w:type="dxa"/>
            <w:gridSpan w:val="3"/>
            <w:vMerge/>
            <w:tcBorders>
              <w:left w:val="single" w:sz="4" w:space="0" w:color="auto"/>
              <w:right w:val="single" w:sz="4" w:space="0" w:color="auto"/>
            </w:tcBorders>
            <w:textDirection w:val="tbRlV"/>
            <w:vAlign w:val="center"/>
          </w:tcPr>
          <w:p w14:paraId="012F2BA7" w14:textId="77777777" w:rsidR="00374AB9" w:rsidRPr="007B789A" w:rsidRDefault="00374AB9" w:rsidP="006440CE">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09AA4956" w14:textId="3A963390" w:rsidR="00374AB9" w:rsidRPr="007B789A" w:rsidRDefault="00374AB9" w:rsidP="00F1230E">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●地上レベルから上野恩賜公園レベルまでのパブリックスペースには、上野恩賜公園から連続した緑の景観を重層的に形成する。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4CC2D66" w14:textId="77777777" w:rsidR="00374AB9" w:rsidRPr="007B789A" w:rsidRDefault="00374AB9" w:rsidP="00F1230E">
            <w:pPr>
              <w:widowControl/>
              <w:jc w:val="left"/>
              <w:rPr>
                <w:rFonts w:ascii="BIZ UD明朝 Medium" w:hAnsi="BIZ UD明朝 Medium" w:cs="ＭＳ Ｐゴシック"/>
                <w:color w:val="000000"/>
                <w:kern w:val="0"/>
                <w:szCs w:val="21"/>
              </w:rPr>
            </w:pPr>
          </w:p>
        </w:tc>
      </w:tr>
      <w:tr w:rsidR="00374AB9" w:rsidRPr="00EA0E6A" w14:paraId="4A6DBB9C" w14:textId="77777777" w:rsidTr="00C25066">
        <w:trPr>
          <w:trHeight w:val="270"/>
        </w:trPr>
        <w:tc>
          <w:tcPr>
            <w:tcW w:w="1692" w:type="dxa"/>
            <w:gridSpan w:val="3"/>
            <w:vMerge/>
            <w:tcBorders>
              <w:left w:val="single" w:sz="4" w:space="0" w:color="auto"/>
              <w:right w:val="single" w:sz="4" w:space="0" w:color="auto"/>
            </w:tcBorders>
            <w:textDirection w:val="tbRlV"/>
            <w:vAlign w:val="center"/>
          </w:tcPr>
          <w:p w14:paraId="3C83652E" w14:textId="77777777" w:rsidR="00374AB9" w:rsidRPr="007B789A" w:rsidRDefault="00374AB9" w:rsidP="006440CE">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17CD6750" w14:textId="531D929B" w:rsidR="00374AB9" w:rsidRPr="007B789A" w:rsidRDefault="00374AB9" w:rsidP="00F1230E">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●上野駅の正面性を活かした居心地の良い広場景観を形成する。</w:t>
            </w:r>
          </w:p>
        </w:tc>
        <w:tc>
          <w:tcPr>
            <w:tcW w:w="4111" w:type="dxa"/>
            <w:tcBorders>
              <w:left w:val="nil"/>
              <w:bottom w:val="single" w:sz="4" w:space="0" w:color="auto"/>
              <w:right w:val="single" w:sz="4" w:space="0" w:color="auto"/>
            </w:tcBorders>
            <w:shd w:val="clear" w:color="auto" w:fill="auto"/>
            <w:noWrap/>
            <w:vAlign w:val="center"/>
          </w:tcPr>
          <w:p w14:paraId="3E01141F" w14:textId="77777777" w:rsidR="00374AB9" w:rsidRPr="007B789A" w:rsidRDefault="00374AB9" w:rsidP="00F1230E">
            <w:pPr>
              <w:widowControl/>
              <w:jc w:val="left"/>
              <w:rPr>
                <w:rFonts w:ascii="BIZ UD明朝 Medium" w:hAnsi="BIZ UD明朝 Medium" w:cs="ＭＳ Ｐゴシック"/>
                <w:color w:val="000000"/>
                <w:kern w:val="0"/>
                <w:szCs w:val="21"/>
              </w:rPr>
            </w:pPr>
          </w:p>
        </w:tc>
      </w:tr>
      <w:tr w:rsidR="00374AB9" w:rsidRPr="00EA0E6A" w14:paraId="22C3768B" w14:textId="77777777" w:rsidTr="003B4058">
        <w:trPr>
          <w:trHeight w:val="270"/>
        </w:trPr>
        <w:tc>
          <w:tcPr>
            <w:tcW w:w="1692" w:type="dxa"/>
            <w:gridSpan w:val="3"/>
            <w:vMerge/>
            <w:tcBorders>
              <w:left w:val="single" w:sz="4" w:space="0" w:color="auto"/>
              <w:bottom w:val="single" w:sz="4" w:space="0" w:color="auto"/>
              <w:right w:val="single" w:sz="4" w:space="0" w:color="auto"/>
            </w:tcBorders>
            <w:textDirection w:val="tbRlV"/>
            <w:vAlign w:val="center"/>
          </w:tcPr>
          <w:p w14:paraId="475D06E8" w14:textId="77777777" w:rsidR="00374AB9" w:rsidRPr="007B789A" w:rsidRDefault="00374AB9" w:rsidP="006440CE">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56DECBE5" w14:textId="7C83B925" w:rsidR="00374AB9" w:rsidRPr="007B789A" w:rsidRDefault="00374AB9" w:rsidP="00F1230E">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●地域に開かれたパブリックスペースの活用により、賑わいや活気ある景観を形成する。</w:t>
            </w:r>
          </w:p>
        </w:tc>
        <w:tc>
          <w:tcPr>
            <w:tcW w:w="4111" w:type="dxa"/>
            <w:tcBorders>
              <w:left w:val="nil"/>
              <w:bottom w:val="single" w:sz="4" w:space="0" w:color="auto"/>
              <w:right w:val="single" w:sz="4" w:space="0" w:color="auto"/>
            </w:tcBorders>
            <w:shd w:val="clear" w:color="auto" w:fill="auto"/>
            <w:noWrap/>
            <w:vAlign w:val="center"/>
          </w:tcPr>
          <w:p w14:paraId="3C40F352" w14:textId="77777777" w:rsidR="00374AB9" w:rsidRPr="007B789A" w:rsidRDefault="00374AB9" w:rsidP="00F1230E">
            <w:pPr>
              <w:widowControl/>
              <w:jc w:val="left"/>
              <w:rPr>
                <w:rFonts w:ascii="BIZ UD明朝 Medium" w:hAnsi="BIZ UD明朝 Medium" w:cs="ＭＳ Ｐゴシック"/>
                <w:color w:val="000000"/>
                <w:kern w:val="0"/>
                <w:szCs w:val="21"/>
              </w:rPr>
            </w:pPr>
          </w:p>
        </w:tc>
      </w:tr>
      <w:tr w:rsidR="00374AB9" w:rsidRPr="00EA0E6A" w14:paraId="4F644BA7" w14:textId="77777777" w:rsidTr="003B4058">
        <w:trPr>
          <w:cantSplit/>
          <w:trHeight w:val="784"/>
        </w:trPr>
        <w:tc>
          <w:tcPr>
            <w:tcW w:w="1128" w:type="dxa"/>
            <w:gridSpan w:val="2"/>
            <w:vMerge w:val="restart"/>
            <w:tcBorders>
              <w:top w:val="single" w:sz="4" w:space="0" w:color="auto"/>
              <w:left w:val="single" w:sz="4" w:space="0" w:color="auto"/>
              <w:right w:val="single" w:sz="4" w:space="0" w:color="auto"/>
            </w:tcBorders>
            <w:textDirection w:val="tbRlV"/>
            <w:vAlign w:val="center"/>
          </w:tcPr>
          <w:p w14:paraId="79D3CB9F" w14:textId="68101F03" w:rsidR="00374AB9" w:rsidRPr="007B789A" w:rsidRDefault="00374AB9" w:rsidP="006440CE">
            <w:pPr>
              <w:ind w:left="113" w:right="113"/>
              <w:jc w:val="center"/>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屋外広告物</w:t>
            </w:r>
          </w:p>
        </w:tc>
        <w:tc>
          <w:tcPr>
            <w:tcW w:w="564" w:type="dxa"/>
            <w:vMerge w:val="restart"/>
            <w:tcBorders>
              <w:top w:val="single" w:sz="4" w:space="0" w:color="auto"/>
              <w:left w:val="nil"/>
              <w:right w:val="single" w:sz="4" w:space="0" w:color="auto"/>
            </w:tcBorders>
            <w:shd w:val="clear" w:color="000000" w:fill="FFFFFF"/>
            <w:textDirection w:val="tbRlV"/>
          </w:tcPr>
          <w:p w14:paraId="4D3780FB" w14:textId="770E6185" w:rsidR="00374AB9" w:rsidRPr="007B789A" w:rsidRDefault="00374AB9" w:rsidP="006440CE">
            <w:pPr>
              <w:widowControl/>
              <w:ind w:left="210" w:right="113" w:hangingChars="100" w:hanging="210"/>
              <w:jc w:val="center"/>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視認されない高層部</w:t>
            </w: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655BFE83" w14:textId="2DFDB2F3" w:rsidR="00374AB9" w:rsidRPr="007B789A" w:rsidRDefault="00374AB9" w:rsidP="00F1230E">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●周辺の景観特性と調和し、秩序や風格のある広告景観を形成する。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53FE5EC" w14:textId="77777777" w:rsidR="00374AB9" w:rsidRPr="007B789A" w:rsidRDefault="00374AB9" w:rsidP="00F1230E">
            <w:pPr>
              <w:widowControl/>
              <w:jc w:val="left"/>
              <w:rPr>
                <w:rFonts w:ascii="BIZ UD明朝 Medium" w:hAnsi="BIZ UD明朝 Medium" w:cs="ＭＳ Ｐゴシック"/>
                <w:color w:val="000000"/>
                <w:kern w:val="0"/>
                <w:szCs w:val="21"/>
              </w:rPr>
            </w:pPr>
          </w:p>
        </w:tc>
      </w:tr>
      <w:tr w:rsidR="00374AB9" w:rsidRPr="00EA0E6A" w14:paraId="5644CEC6" w14:textId="77777777" w:rsidTr="003B4058">
        <w:trPr>
          <w:cantSplit/>
          <w:trHeight w:val="1234"/>
        </w:trPr>
        <w:tc>
          <w:tcPr>
            <w:tcW w:w="1128" w:type="dxa"/>
            <w:gridSpan w:val="2"/>
            <w:vMerge/>
            <w:tcBorders>
              <w:left w:val="single" w:sz="4" w:space="0" w:color="auto"/>
              <w:right w:val="single" w:sz="4" w:space="0" w:color="auto"/>
            </w:tcBorders>
            <w:textDirection w:val="tbRlV"/>
            <w:vAlign w:val="center"/>
          </w:tcPr>
          <w:p w14:paraId="78444D07" w14:textId="77777777" w:rsidR="00374AB9" w:rsidRPr="007B789A" w:rsidRDefault="00374AB9" w:rsidP="006440CE">
            <w:pPr>
              <w:ind w:left="113" w:right="113"/>
              <w:jc w:val="center"/>
              <w:rPr>
                <w:rFonts w:ascii="BIZ UD明朝 Medium" w:hAnsi="BIZ UD明朝 Medium" w:cs="ＭＳ Ｐゴシック"/>
                <w:color w:val="000000"/>
                <w:kern w:val="0"/>
                <w:szCs w:val="21"/>
              </w:rPr>
            </w:pPr>
          </w:p>
        </w:tc>
        <w:tc>
          <w:tcPr>
            <w:tcW w:w="564" w:type="dxa"/>
            <w:vMerge/>
            <w:tcBorders>
              <w:left w:val="nil"/>
              <w:bottom w:val="single" w:sz="4" w:space="0" w:color="auto"/>
              <w:right w:val="single" w:sz="4" w:space="0" w:color="auto"/>
            </w:tcBorders>
            <w:shd w:val="clear" w:color="000000" w:fill="FFFFFF"/>
            <w:textDirection w:val="tbRlV"/>
          </w:tcPr>
          <w:p w14:paraId="6F4C0D63" w14:textId="77777777" w:rsidR="00374AB9" w:rsidRPr="007B789A" w:rsidRDefault="00374AB9" w:rsidP="006440CE">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53AA74F1" w14:textId="1CFDC29F" w:rsidR="00374AB9" w:rsidRPr="007B789A" w:rsidRDefault="00374AB9" w:rsidP="00F1230E">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●主要な眺望点（国立西洋美術館前庭及び上野駅前広場、西郷像前）や、パンダ橋、ジュエリーブリッジなどからの見え方に配慮した広告景観を形成する。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D5523A2" w14:textId="77777777" w:rsidR="00374AB9" w:rsidRPr="007B789A" w:rsidRDefault="00374AB9" w:rsidP="00F1230E">
            <w:pPr>
              <w:widowControl/>
              <w:jc w:val="left"/>
              <w:rPr>
                <w:rFonts w:ascii="BIZ UD明朝 Medium" w:hAnsi="BIZ UD明朝 Medium" w:cs="ＭＳ Ｐゴシック"/>
                <w:color w:val="000000"/>
                <w:kern w:val="0"/>
                <w:szCs w:val="21"/>
              </w:rPr>
            </w:pPr>
          </w:p>
        </w:tc>
      </w:tr>
      <w:tr w:rsidR="00374AB9" w:rsidRPr="00EA0E6A" w14:paraId="07055AE2" w14:textId="77777777" w:rsidTr="003B4058">
        <w:trPr>
          <w:cantSplit/>
          <w:trHeight w:val="883"/>
        </w:trPr>
        <w:tc>
          <w:tcPr>
            <w:tcW w:w="1128" w:type="dxa"/>
            <w:gridSpan w:val="2"/>
            <w:vMerge/>
            <w:tcBorders>
              <w:left w:val="single" w:sz="4" w:space="0" w:color="auto"/>
              <w:right w:val="single" w:sz="4" w:space="0" w:color="auto"/>
            </w:tcBorders>
            <w:textDirection w:val="tbRlV"/>
            <w:vAlign w:val="center"/>
          </w:tcPr>
          <w:p w14:paraId="6B043526" w14:textId="6D79787C" w:rsidR="00374AB9" w:rsidRPr="007B789A" w:rsidRDefault="00374AB9" w:rsidP="006440CE">
            <w:pPr>
              <w:widowControl/>
              <w:ind w:left="113" w:right="113"/>
              <w:jc w:val="center"/>
              <w:rPr>
                <w:rFonts w:ascii="BIZ UD明朝 Medium" w:hAnsi="BIZ UD明朝 Medium" w:cs="ＭＳ Ｐゴシック"/>
                <w:color w:val="000000"/>
                <w:kern w:val="0"/>
                <w:szCs w:val="21"/>
              </w:rPr>
            </w:pPr>
          </w:p>
        </w:tc>
        <w:tc>
          <w:tcPr>
            <w:tcW w:w="564" w:type="dxa"/>
            <w:vMerge w:val="restart"/>
            <w:tcBorders>
              <w:top w:val="single" w:sz="4" w:space="0" w:color="auto"/>
              <w:left w:val="nil"/>
              <w:right w:val="single" w:sz="4" w:space="0" w:color="auto"/>
            </w:tcBorders>
            <w:shd w:val="clear" w:color="000000" w:fill="FFFFFF"/>
            <w:textDirection w:val="tbRlV"/>
          </w:tcPr>
          <w:p w14:paraId="10973C80" w14:textId="79F6AD04" w:rsidR="00374AB9" w:rsidRPr="007B789A" w:rsidRDefault="00374AB9" w:rsidP="006440CE">
            <w:pPr>
              <w:widowControl/>
              <w:ind w:left="210" w:right="113" w:hangingChars="100" w:hanging="210"/>
              <w:jc w:val="center"/>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低層部</w:t>
            </w: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1B77F34F" w14:textId="537B9292" w:rsidR="00374AB9" w:rsidRPr="007B789A" w:rsidRDefault="00374AB9" w:rsidP="00374AB9">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●周辺の景観特性と調和し、秩序や風格のある広告景観を形成するとともに、周辺の商業エリアとの賑わいの連続性に配慮する。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3BDE4F4" w14:textId="77777777" w:rsidR="00374AB9" w:rsidRPr="007B789A" w:rsidRDefault="00374AB9" w:rsidP="00F1230E">
            <w:pPr>
              <w:widowControl/>
              <w:jc w:val="left"/>
              <w:rPr>
                <w:rFonts w:ascii="BIZ UD明朝 Medium" w:hAnsi="BIZ UD明朝 Medium" w:cs="ＭＳ Ｐゴシック"/>
                <w:color w:val="000000"/>
                <w:kern w:val="0"/>
                <w:szCs w:val="21"/>
              </w:rPr>
            </w:pPr>
          </w:p>
        </w:tc>
      </w:tr>
      <w:tr w:rsidR="00374AB9" w:rsidRPr="00EA0E6A" w14:paraId="67F9A28B" w14:textId="77777777" w:rsidTr="003B4058">
        <w:trPr>
          <w:cantSplit/>
          <w:trHeight w:val="643"/>
        </w:trPr>
        <w:tc>
          <w:tcPr>
            <w:tcW w:w="1128" w:type="dxa"/>
            <w:gridSpan w:val="2"/>
            <w:vMerge/>
            <w:tcBorders>
              <w:left w:val="single" w:sz="4" w:space="0" w:color="auto"/>
              <w:bottom w:val="single" w:sz="4" w:space="0" w:color="auto"/>
              <w:right w:val="single" w:sz="4" w:space="0" w:color="auto"/>
            </w:tcBorders>
            <w:textDirection w:val="tbRlV"/>
            <w:vAlign w:val="center"/>
          </w:tcPr>
          <w:p w14:paraId="77004C48" w14:textId="77777777" w:rsidR="00374AB9" w:rsidRPr="007B789A" w:rsidRDefault="00374AB9" w:rsidP="006440CE">
            <w:pPr>
              <w:widowControl/>
              <w:ind w:left="113" w:right="113"/>
              <w:jc w:val="center"/>
              <w:rPr>
                <w:rFonts w:ascii="BIZ UD明朝 Medium" w:hAnsi="BIZ UD明朝 Medium" w:cs="ＭＳ Ｐゴシック"/>
                <w:color w:val="000000"/>
                <w:kern w:val="0"/>
                <w:szCs w:val="21"/>
              </w:rPr>
            </w:pPr>
          </w:p>
        </w:tc>
        <w:tc>
          <w:tcPr>
            <w:tcW w:w="564" w:type="dxa"/>
            <w:vMerge/>
            <w:tcBorders>
              <w:left w:val="nil"/>
              <w:bottom w:val="single" w:sz="4" w:space="0" w:color="auto"/>
              <w:right w:val="single" w:sz="4" w:space="0" w:color="auto"/>
            </w:tcBorders>
            <w:shd w:val="clear" w:color="000000" w:fill="FFFFFF"/>
            <w:textDirection w:val="tbRlV"/>
          </w:tcPr>
          <w:p w14:paraId="617B5E4D" w14:textId="77777777" w:rsidR="00374AB9" w:rsidRPr="007B789A" w:rsidRDefault="00374AB9" w:rsidP="006440CE">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54DDA708" w14:textId="5555B131" w:rsidR="00374AB9" w:rsidRPr="007B789A" w:rsidRDefault="00374AB9" w:rsidP="00F1230E">
            <w:pPr>
              <w:widowControl/>
              <w:ind w:left="210" w:hangingChars="100" w:hanging="210"/>
              <w:jc w:val="left"/>
              <w:rPr>
                <w:rFonts w:ascii="BIZ UD明朝 Medium" w:hAnsi="BIZ UD明朝 Medium" w:cs="ＭＳ Ｐゴシック"/>
                <w:color w:val="000000"/>
                <w:kern w:val="0"/>
                <w:szCs w:val="21"/>
              </w:rPr>
            </w:pPr>
            <w:r w:rsidRPr="007B789A">
              <w:rPr>
                <w:rFonts w:ascii="BIZ UD明朝 Medium" w:hAnsi="BIZ UD明朝 Medium" w:cs="ＭＳ Ｐゴシック" w:hint="eastAsia"/>
                <w:color w:val="000000"/>
                <w:kern w:val="0"/>
                <w:szCs w:val="21"/>
              </w:rPr>
              <w:t>●主要な眺望点（上野駅前広場及び西郷像前）や、パンダ橋、ジュエリーブリッジなどからの見え方に配慮した広告景観を形成する。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65DCFCC" w14:textId="77777777" w:rsidR="00374AB9" w:rsidRPr="007B789A" w:rsidRDefault="00374AB9" w:rsidP="00F1230E">
            <w:pPr>
              <w:widowControl/>
              <w:jc w:val="left"/>
              <w:rPr>
                <w:rFonts w:ascii="BIZ UD明朝 Medium" w:hAnsi="BIZ UD明朝 Medium" w:cs="ＭＳ Ｐゴシック"/>
                <w:color w:val="000000"/>
                <w:kern w:val="0"/>
                <w:szCs w:val="21"/>
              </w:rPr>
            </w:pPr>
          </w:p>
        </w:tc>
      </w:tr>
    </w:tbl>
    <w:p w14:paraId="111B3B50" w14:textId="77777777" w:rsidR="00080F00" w:rsidRPr="000F2AA9" w:rsidRDefault="00080F00"/>
    <w:p w14:paraId="2E6B5D4D" w14:textId="77777777" w:rsidR="00080F00" w:rsidRPr="00080F00" w:rsidRDefault="00080F00"/>
    <w:sectPr w:rsidR="00080F00" w:rsidRPr="00080F00" w:rsidSect="00080F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169A" w14:textId="77777777" w:rsidR="003B0134" w:rsidRDefault="003B0134" w:rsidP="000F2AA9">
      <w:r>
        <w:separator/>
      </w:r>
    </w:p>
  </w:endnote>
  <w:endnote w:type="continuationSeparator" w:id="0">
    <w:p w14:paraId="5B84264E" w14:textId="77777777" w:rsidR="003B0134" w:rsidRDefault="003B0134" w:rsidP="000F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20F8" w14:textId="77777777" w:rsidR="003B0134" w:rsidRDefault="003B0134" w:rsidP="000F2AA9">
      <w:r>
        <w:separator/>
      </w:r>
    </w:p>
  </w:footnote>
  <w:footnote w:type="continuationSeparator" w:id="0">
    <w:p w14:paraId="17AE0B4D" w14:textId="77777777" w:rsidR="003B0134" w:rsidRDefault="003B0134" w:rsidP="000F2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C4A46"/>
    <w:multiLevelType w:val="hybridMultilevel"/>
    <w:tmpl w:val="369EB9F4"/>
    <w:lvl w:ilvl="0" w:tplc="6B3AF156">
      <w:start w:val="1"/>
      <w:numFmt w:val="bullet"/>
      <w:lvlText w:val=""/>
      <w:lvlJc w:val="left"/>
      <w:pPr>
        <w:tabs>
          <w:tab w:val="num" w:pos="720"/>
        </w:tabs>
        <w:ind w:left="720" w:hanging="360"/>
      </w:pPr>
      <w:rPr>
        <w:rFonts w:ascii="Wingdings" w:hAnsi="Wingdings" w:hint="default"/>
      </w:rPr>
    </w:lvl>
    <w:lvl w:ilvl="1" w:tplc="317A7A20" w:tentative="1">
      <w:start w:val="1"/>
      <w:numFmt w:val="bullet"/>
      <w:lvlText w:val=""/>
      <w:lvlJc w:val="left"/>
      <w:pPr>
        <w:tabs>
          <w:tab w:val="num" w:pos="1440"/>
        </w:tabs>
        <w:ind w:left="1440" w:hanging="360"/>
      </w:pPr>
      <w:rPr>
        <w:rFonts w:ascii="Wingdings" w:hAnsi="Wingdings" w:hint="default"/>
      </w:rPr>
    </w:lvl>
    <w:lvl w:ilvl="2" w:tplc="AEC0A9EC" w:tentative="1">
      <w:start w:val="1"/>
      <w:numFmt w:val="bullet"/>
      <w:lvlText w:val=""/>
      <w:lvlJc w:val="left"/>
      <w:pPr>
        <w:tabs>
          <w:tab w:val="num" w:pos="2160"/>
        </w:tabs>
        <w:ind w:left="2160" w:hanging="360"/>
      </w:pPr>
      <w:rPr>
        <w:rFonts w:ascii="Wingdings" w:hAnsi="Wingdings" w:hint="default"/>
      </w:rPr>
    </w:lvl>
    <w:lvl w:ilvl="3" w:tplc="42E49E0C" w:tentative="1">
      <w:start w:val="1"/>
      <w:numFmt w:val="bullet"/>
      <w:lvlText w:val=""/>
      <w:lvlJc w:val="left"/>
      <w:pPr>
        <w:tabs>
          <w:tab w:val="num" w:pos="2880"/>
        </w:tabs>
        <w:ind w:left="2880" w:hanging="360"/>
      </w:pPr>
      <w:rPr>
        <w:rFonts w:ascii="Wingdings" w:hAnsi="Wingdings" w:hint="default"/>
      </w:rPr>
    </w:lvl>
    <w:lvl w:ilvl="4" w:tplc="A3683D44" w:tentative="1">
      <w:start w:val="1"/>
      <w:numFmt w:val="bullet"/>
      <w:lvlText w:val=""/>
      <w:lvlJc w:val="left"/>
      <w:pPr>
        <w:tabs>
          <w:tab w:val="num" w:pos="3600"/>
        </w:tabs>
        <w:ind w:left="3600" w:hanging="360"/>
      </w:pPr>
      <w:rPr>
        <w:rFonts w:ascii="Wingdings" w:hAnsi="Wingdings" w:hint="default"/>
      </w:rPr>
    </w:lvl>
    <w:lvl w:ilvl="5" w:tplc="CC64A5A4" w:tentative="1">
      <w:start w:val="1"/>
      <w:numFmt w:val="bullet"/>
      <w:lvlText w:val=""/>
      <w:lvlJc w:val="left"/>
      <w:pPr>
        <w:tabs>
          <w:tab w:val="num" w:pos="4320"/>
        </w:tabs>
        <w:ind w:left="4320" w:hanging="360"/>
      </w:pPr>
      <w:rPr>
        <w:rFonts w:ascii="Wingdings" w:hAnsi="Wingdings" w:hint="default"/>
      </w:rPr>
    </w:lvl>
    <w:lvl w:ilvl="6" w:tplc="288E4750" w:tentative="1">
      <w:start w:val="1"/>
      <w:numFmt w:val="bullet"/>
      <w:lvlText w:val=""/>
      <w:lvlJc w:val="left"/>
      <w:pPr>
        <w:tabs>
          <w:tab w:val="num" w:pos="5040"/>
        </w:tabs>
        <w:ind w:left="5040" w:hanging="360"/>
      </w:pPr>
      <w:rPr>
        <w:rFonts w:ascii="Wingdings" w:hAnsi="Wingdings" w:hint="default"/>
      </w:rPr>
    </w:lvl>
    <w:lvl w:ilvl="7" w:tplc="1A0C9138" w:tentative="1">
      <w:start w:val="1"/>
      <w:numFmt w:val="bullet"/>
      <w:lvlText w:val=""/>
      <w:lvlJc w:val="left"/>
      <w:pPr>
        <w:tabs>
          <w:tab w:val="num" w:pos="5760"/>
        </w:tabs>
        <w:ind w:left="5760" w:hanging="360"/>
      </w:pPr>
      <w:rPr>
        <w:rFonts w:ascii="Wingdings" w:hAnsi="Wingdings" w:hint="default"/>
      </w:rPr>
    </w:lvl>
    <w:lvl w:ilvl="8" w:tplc="A86017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6F6F5D"/>
    <w:multiLevelType w:val="hybridMultilevel"/>
    <w:tmpl w:val="36500044"/>
    <w:lvl w:ilvl="0" w:tplc="672432A2">
      <w:start w:val="1"/>
      <w:numFmt w:val="bullet"/>
      <w:lvlText w:val=""/>
      <w:lvlJc w:val="left"/>
      <w:pPr>
        <w:tabs>
          <w:tab w:val="num" w:pos="720"/>
        </w:tabs>
        <w:ind w:left="720" w:hanging="360"/>
      </w:pPr>
      <w:rPr>
        <w:rFonts w:ascii="Wingdings" w:hAnsi="Wingdings" w:hint="default"/>
      </w:rPr>
    </w:lvl>
    <w:lvl w:ilvl="1" w:tplc="F5323B2C" w:tentative="1">
      <w:start w:val="1"/>
      <w:numFmt w:val="bullet"/>
      <w:lvlText w:val=""/>
      <w:lvlJc w:val="left"/>
      <w:pPr>
        <w:tabs>
          <w:tab w:val="num" w:pos="1440"/>
        </w:tabs>
        <w:ind w:left="1440" w:hanging="360"/>
      </w:pPr>
      <w:rPr>
        <w:rFonts w:ascii="Wingdings" w:hAnsi="Wingdings" w:hint="default"/>
      </w:rPr>
    </w:lvl>
    <w:lvl w:ilvl="2" w:tplc="93F6A86C" w:tentative="1">
      <w:start w:val="1"/>
      <w:numFmt w:val="bullet"/>
      <w:lvlText w:val=""/>
      <w:lvlJc w:val="left"/>
      <w:pPr>
        <w:tabs>
          <w:tab w:val="num" w:pos="2160"/>
        </w:tabs>
        <w:ind w:left="2160" w:hanging="360"/>
      </w:pPr>
      <w:rPr>
        <w:rFonts w:ascii="Wingdings" w:hAnsi="Wingdings" w:hint="default"/>
      </w:rPr>
    </w:lvl>
    <w:lvl w:ilvl="3" w:tplc="E1423CC6" w:tentative="1">
      <w:start w:val="1"/>
      <w:numFmt w:val="bullet"/>
      <w:lvlText w:val=""/>
      <w:lvlJc w:val="left"/>
      <w:pPr>
        <w:tabs>
          <w:tab w:val="num" w:pos="2880"/>
        </w:tabs>
        <w:ind w:left="2880" w:hanging="360"/>
      </w:pPr>
      <w:rPr>
        <w:rFonts w:ascii="Wingdings" w:hAnsi="Wingdings" w:hint="default"/>
      </w:rPr>
    </w:lvl>
    <w:lvl w:ilvl="4" w:tplc="E8129C20" w:tentative="1">
      <w:start w:val="1"/>
      <w:numFmt w:val="bullet"/>
      <w:lvlText w:val=""/>
      <w:lvlJc w:val="left"/>
      <w:pPr>
        <w:tabs>
          <w:tab w:val="num" w:pos="3600"/>
        </w:tabs>
        <w:ind w:left="3600" w:hanging="360"/>
      </w:pPr>
      <w:rPr>
        <w:rFonts w:ascii="Wingdings" w:hAnsi="Wingdings" w:hint="default"/>
      </w:rPr>
    </w:lvl>
    <w:lvl w:ilvl="5" w:tplc="0F9886D2" w:tentative="1">
      <w:start w:val="1"/>
      <w:numFmt w:val="bullet"/>
      <w:lvlText w:val=""/>
      <w:lvlJc w:val="left"/>
      <w:pPr>
        <w:tabs>
          <w:tab w:val="num" w:pos="4320"/>
        </w:tabs>
        <w:ind w:left="4320" w:hanging="360"/>
      </w:pPr>
      <w:rPr>
        <w:rFonts w:ascii="Wingdings" w:hAnsi="Wingdings" w:hint="default"/>
      </w:rPr>
    </w:lvl>
    <w:lvl w:ilvl="6" w:tplc="879AC062" w:tentative="1">
      <w:start w:val="1"/>
      <w:numFmt w:val="bullet"/>
      <w:lvlText w:val=""/>
      <w:lvlJc w:val="left"/>
      <w:pPr>
        <w:tabs>
          <w:tab w:val="num" w:pos="5040"/>
        </w:tabs>
        <w:ind w:left="5040" w:hanging="360"/>
      </w:pPr>
      <w:rPr>
        <w:rFonts w:ascii="Wingdings" w:hAnsi="Wingdings" w:hint="default"/>
      </w:rPr>
    </w:lvl>
    <w:lvl w:ilvl="7" w:tplc="165417B0" w:tentative="1">
      <w:start w:val="1"/>
      <w:numFmt w:val="bullet"/>
      <w:lvlText w:val=""/>
      <w:lvlJc w:val="left"/>
      <w:pPr>
        <w:tabs>
          <w:tab w:val="num" w:pos="5760"/>
        </w:tabs>
        <w:ind w:left="5760" w:hanging="360"/>
      </w:pPr>
      <w:rPr>
        <w:rFonts w:ascii="Wingdings" w:hAnsi="Wingdings" w:hint="default"/>
      </w:rPr>
    </w:lvl>
    <w:lvl w:ilvl="8" w:tplc="1212C342" w:tentative="1">
      <w:start w:val="1"/>
      <w:numFmt w:val="bullet"/>
      <w:lvlText w:val=""/>
      <w:lvlJc w:val="left"/>
      <w:pPr>
        <w:tabs>
          <w:tab w:val="num" w:pos="6480"/>
        </w:tabs>
        <w:ind w:left="6480" w:hanging="360"/>
      </w:pPr>
      <w:rPr>
        <w:rFonts w:ascii="Wingdings" w:hAnsi="Wingdings" w:hint="default"/>
      </w:rPr>
    </w:lvl>
  </w:abstractNum>
  <w:num w:numId="1" w16cid:durableId="1604797580">
    <w:abstractNumId w:val="0"/>
  </w:num>
  <w:num w:numId="2" w16cid:durableId="866530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0"/>
    <w:rsid w:val="00080F00"/>
    <w:rsid w:val="000F2AA9"/>
    <w:rsid w:val="00103EDF"/>
    <w:rsid w:val="00227346"/>
    <w:rsid w:val="00374AB9"/>
    <w:rsid w:val="003B0134"/>
    <w:rsid w:val="003B4058"/>
    <w:rsid w:val="00440E47"/>
    <w:rsid w:val="00456FE6"/>
    <w:rsid w:val="005E4572"/>
    <w:rsid w:val="006440CE"/>
    <w:rsid w:val="00785CC3"/>
    <w:rsid w:val="007B789A"/>
    <w:rsid w:val="00862BD3"/>
    <w:rsid w:val="00A670FB"/>
    <w:rsid w:val="00C35BD7"/>
    <w:rsid w:val="00EA0E6A"/>
    <w:rsid w:val="00F1230E"/>
    <w:rsid w:val="00F30B0C"/>
    <w:rsid w:val="00F46350"/>
    <w:rsid w:val="00FC0347"/>
    <w:rsid w:val="00FC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2AE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AA9"/>
    <w:pPr>
      <w:tabs>
        <w:tab w:val="center" w:pos="4252"/>
        <w:tab w:val="right" w:pos="8504"/>
      </w:tabs>
      <w:snapToGrid w:val="0"/>
    </w:pPr>
  </w:style>
  <w:style w:type="character" w:customStyle="1" w:styleId="a4">
    <w:name w:val="ヘッダー (文字)"/>
    <w:basedOn w:val="a0"/>
    <w:link w:val="a3"/>
    <w:uiPriority w:val="99"/>
    <w:rsid w:val="000F2AA9"/>
  </w:style>
  <w:style w:type="paragraph" w:styleId="a5">
    <w:name w:val="footer"/>
    <w:basedOn w:val="a"/>
    <w:link w:val="a6"/>
    <w:uiPriority w:val="99"/>
    <w:unhideWhenUsed/>
    <w:rsid w:val="000F2AA9"/>
    <w:pPr>
      <w:tabs>
        <w:tab w:val="center" w:pos="4252"/>
        <w:tab w:val="right" w:pos="8504"/>
      </w:tabs>
      <w:snapToGrid w:val="0"/>
    </w:pPr>
  </w:style>
  <w:style w:type="character" w:customStyle="1" w:styleId="a6">
    <w:name w:val="フッター (文字)"/>
    <w:basedOn w:val="a0"/>
    <w:link w:val="a5"/>
    <w:uiPriority w:val="99"/>
    <w:rsid w:val="000F2AA9"/>
  </w:style>
  <w:style w:type="paragraph" w:styleId="a7">
    <w:name w:val="List Paragraph"/>
    <w:basedOn w:val="a"/>
    <w:uiPriority w:val="34"/>
    <w:qFormat/>
    <w:rsid w:val="00862BD3"/>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51">
      <w:bodyDiv w:val="1"/>
      <w:marLeft w:val="0"/>
      <w:marRight w:val="0"/>
      <w:marTop w:val="0"/>
      <w:marBottom w:val="0"/>
      <w:divBdr>
        <w:top w:val="none" w:sz="0" w:space="0" w:color="auto"/>
        <w:left w:val="none" w:sz="0" w:space="0" w:color="auto"/>
        <w:bottom w:val="none" w:sz="0" w:space="0" w:color="auto"/>
        <w:right w:val="none" w:sz="0" w:space="0" w:color="auto"/>
      </w:divBdr>
      <w:divsChild>
        <w:div w:id="1688948418">
          <w:marLeft w:val="274"/>
          <w:marRight w:val="0"/>
          <w:marTop w:val="0"/>
          <w:marBottom w:val="60"/>
          <w:divBdr>
            <w:top w:val="none" w:sz="0" w:space="0" w:color="auto"/>
            <w:left w:val="none" w:sz="0" w:space="0" w:color="auto"/>
            <w:bottom w:val="none" w:sz="0" w:space="0" w:color="auto"/>
            <w:right w:val="none" w:sz="0" w:space="0" w:color="auto"/>
          </w:divBdr>
        </w:div>
      </w:divsChild>
    </w:div>
    <w:div w:id="32659300">
      <w:bodyDiv w:val="1"/>
      <w:marLeft w:val="0"/>
      <w:marRight w:val="0"/>
      <w:marTop w:val="0"/>
      <w:marBottom w:val="0"/>
      <w:divBdr>
        <w:top w:val="none" w:sz="0" w:space="0" w:color="auto"/>
        <w:left w:val="none" w:sz="0" w:space="0" w:color="auto"/>
        <w:bottom w:val="none" w:sz="0" w:space="0" w:color="auto"/>
        <w:right w:val="none" w:sz="0" w:space="0" w:color="auto"/>
      </w:divBdr>
      <w:divsChild>
        <w:div w:id="1014723822">
          <w:marLeft w:val="274"/>
          <w:marRight w:val="0"/>
          <w:marTop w:val="0"/>
          <w:marBottom w:val="60"/>
          <w:divBdr>
            <w:top w:val="none" w:sz="0" w:space="0" w:color="auto"/>
            <w:left w:val="none" w:sz="0" w:space="0" w:color="auto"/>
            <w:bottom w:val="none" w:sz="0" w:space="0" w:color="auto"/>
            <w:right w:val="none" w:sz="0" w:space="0" w:color="auto"/>
          </w:divBdr>
        </w:div>
      </w:divsChild>
    </w:div>
    <w:div w:id="76021894">
      <w:bodyDiv w:val="1"/>
      <w:marLeft w:val="0"/>
      <w:marRight w:val="0"/>
      <w:marTop w:val="0"/>
      <w:marBottom w:val="0"/>
      <w:divBdr>
        <w:top w:val="none" w:sz="0" w:space="0" w:color="auto"/>
        <w:left w:val="none" w:sz="0" w:space="0" w:color="auto"/>
        <w:bottom w:val="none" w:sz="0" w:space="0" w:color="auto"/>
        <w:right w:val="none" w:sz="0" w:space="0" w:color="auto"/>
      </w:divBdr>
    </w:div>
    <w:div w:id="501237898">
      <w:bodyDiv w:val="1"/>
      <w:marLeft w:val="0"/>
      <w:marRight w:val="0"/>
      <w:marTop w:val="0"/>
      <w:marBottom w:val="0"/>
      <w:divBdr>
        <w:top w:val="none" w:sz="0" w:space="0" w:color="auto"/>
        <w:left w:val="none" w:sz="0" w:space="0" w:color="auto"/>
        <w:bottom w:val="none" w:sz="0" w:space="0" w:color="auto"/>
        <w:right w:val="none" w:sz="0" w:space="0" w:color="auto"/>
      </w:divBdr>
    </w:div>
    <w:div w:id="1085806004">
      <w:bodyDiv w:val="1"/>
      <w:marLeft w:val="0"/>
      <w:marRight w:val="0"/>
      <w:marTop w:val="0"/>
      <w:marBottom w:val="0"/>
      <w:divBdr>
        <w:top w:val="none" w:sz="0" w:space="0" w:color="auto"/>
        <w:left w:val="none" w:sz="0" w:space="0" w:color="auto"/>
        <w:bottom w:val="none" w:sz="0" w:space="0" w:color="auto"/>
        <w:right w:val="none" w:sz="0" w:space="0" w:color="auto"/>
      </w:divBdr>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411050081">
          <w:marLeft w:val="274"/>
          <w:marRight w:val="0"/>
          <w:marTop w:val="0"/>
          <w:marBottom w:val="60"/>
          <w:divBdr>
            <w:top w:val="none" w:sz="0" w:space="0" w:color="auto"/>
            <w:left w:val="none" w:sz="0" w:space="0" w:color="auto"/>
            <w:bottom w:val="none" w:sz="0" w:space="0" w:color="auto"/>
            <w:right w:val="none" w:sz="0" w:space="0" w:color="auto"/>
          </w:divBdr>
        </w:div>
      </w:divsChild>
    </w:div>
    <w:div w:id="2009405465">
      <w:bodyDiv w:val="1"/>
      <w:marLeft w:val="0"/>
      <w:marRight w:val="0"/>
      <w:marTop w:val="0"/>
      <w:marBottom w:val="0"/>
      <w:divBdr>
        <w:top w:val="none" w:sz="0" w:space="0" w:color="auto"/>
        <w:left w:val="none" w:sz="0" w:space="0" w:color="auto"/>
        <w:bottom w:val="none" w:sz="0" w:space="0" w:color="auto"/>
        <w:right w:val="none" w:sz="0" w:space="0" w:color="auto"/>
      </w:divBdr>
      <w:divsChild>
        <w:div w:id="1970283435">
          <w:marLeft w:val="274"/>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2025-09-10T03:07:00Z</dcterms:created>
  <dcterms:modified xsi:type="dcterms:W3CDTF">2025-09-10T03:07:00Z</dcterms:modified>
</cp:coreProperties>
</file>